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138E">
      <w:pPr>
        <w:jc w:val="cente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pPr>
    </w:p>
    <w:p w14:paraId="5B0A66A0">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14:paraId="054BC3B1">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14:paraId="340B9BD3">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14:paraId="43760A94">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14:paraId="7CA91456">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14:paraId="689EF208">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14:paraId="3C6465C4"/>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14:paraId="391BCA6B">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E07C900">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1EBAF06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87518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3DE2AF4">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46CDD6D2">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63659A6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3C6F9AEC">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2C43F02D">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14:paraId="0AC3E47F">
      <w:pPr>
        <w:rPr>
          <w:rFonts w:ascii="微软雅黑" w:hAnsi="微软雅黑" w:eastAsia="微软雅黑" w:cs="微软雅黑"/>
          <w:color w:val="000000" w:themeColor="text1"/>
          <w:sz w:val="28"/>
          <w:szCs w:val="28"/>
          <w14:textFill>
            <w14:solidFill>
              <w14:schemeClr w14:val="tx1"/>
            </w14:solidFill>
          </w14:textFill>
        </w:rPr>
      </w:pPr>
    </w:p>
    <w:p w14:paraId="7A46F702">
      <w:pPr>
        <w:rPr>
          <w:rFonts w:ascii="微软雅黑" w:hAnsi="微软雅黑" w:eastAsia="微软雅黑" w:cs="微软雅黑"/>
          <w:color w:val="000000" w:themeColor="text1"/>
          <w:sz w:val="28"/>
          <w:szCs w:val="28"/>
          <w14:textFill>
            <w14:solidFill>
              <w14:schemeClr w14:val="tx1"/>
            </w14:solidFill>
          </w14:textFill>
        </w:rPr>
      </w:pPr>
    </w:p>
    <w:p w14:paraId="5C407FC0">
      <w:pPr>
        <w:rPr>
          <w:rFonts w:ascii="微软雅黑" w:hAnsi="微软雅黑" w:eastAsia="微软雅黑" w:cs="微软雅黑"/>
          <w:color w:val="000000" w:themeColor="text1"/>
          <w:sz w:val="28"/>
          <w:szCs w:val="28"/>
          <w14:textFill>
            <w14:solidFill>
              <w14:schemeClr w14:val="tx1"/>
            </w14:solidFill>
          </w14:textFill>
        </w:rPr>
      </w:pPr>
    </w:p>
    <w:p w14:paraId="3AAD07E8">
      <w:pPr>
        <w:rPr>
          <w:rFonts w:ascii="微软雅黑" w:hAnsi="微软雅黑" w:eastAsia="微软雅黑" w:cs="微软雅黑"/>
          <w:color w:val="000000" w:themeColor="text1"/>
          <w:sz w:val="28"/>
          <w:szCs w:val="28"/>
          <w14:textFill>
            <w14:solidFill>
              <w14:schemeClr w14:val="tx1"/>
            </w14:solidFill>
          </w14:textFill>
        </w:rPr>
      </w:pPr>
    </w:p>
    <w:p w14:paraId="7EC1A477">
      <w:pPr>
        <w:rPr>
          <w:rFonts w:ascii="微软雅黑" w:hAnsi="微软雅黑" w:eastAsia="微软雅黑" w:cs="微软雅黑"/>
          <w:color w:val="000000" w:themeColor="text1"/>
          <w:sz w:val="28"/>
          <w:szCs w:val="28"/>
          <w14:textFill>
            <w14:solidFill>
              <w14:schemeClr w14:val="tx1"/>
            </w14:solidFill>
          </w14:textFill>
        </w:rPr>
      </w:pPr>
    </w:p>
    <w:p w14:paraId="73D0F08F">
      <w:pPr>
        <w:rPr>
          <w:rFonts w:ascii="微软雅黑" w:hAnsi="微软雅黑" w:eastAsia="微软雅黑" w:cs="微软雅黑"/>
          <w:color w:val="000000" w:themeColor="text1"/>
          <w:sz w:val="28"/>
          <w:szCs w:val="28"/>
          <w14:textFill>
            <w14:solidFill>
              <w14:schemeClr w14:val="tx1"/>
            </w14:solidFill>
          </w14:textFill>
        </w:rPr>
      </w:pPr>
    </w:p>
    <w:p w14:paraId="4CDB9686">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六</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十二</w:t>
      </w:r>
      <w:r>
        <w:rPr>
          <w:rFonts w:hint="eastAsia" w:ascii="微软雅黑" w:hAnsi="微软雅黑" w:eastAsia="微软雅黑" w:cs="微软雅黑"/>
          <w:color w:val="000000" w:themeColor="text1"/>
          <w:sz w:val="36"/>
          <w:szCs w:val="36"/>
          <w14:textFill>
            <w14:solidFill>
              <w14:schemeClr w14:val="tx1"/>
            </w14:solidFill>
          </w14:textFill>
        </w:rPr>
        <w:t>日</w:t>
      </w:r>
    </w:p>
    <w:p w14:paraId="4239AE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14:paraId="59733A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bookmarkStart w:id="0" w:name="_GoBack"/>
      <w:r>
        <w:rPr>
          <w:rFonts w:hint="eastAsia" w:ascii="方正小标宋简体" w:hAnsi="方正小标宋简体" w:eastAsia="方正小标宋简体" w:cs="方正小标宋简体"/>
          <w:i w:val="0"/>
          <w:iCs w:val="0"/>
          <w:caps w:val="0"/>
          <w:color w:val="auto"/>
          <w:spacing w:val="0"/>
          <w:sz w:val="40"/>
          <w:szCs w:val="40"/>
        </w:rPr>
        <w:t>习近平在中共中央政治局第十四次集体学习时强调 促进高质量充分就业 不断增强广大劳动者的获得感幸福感安全感</w:t>
      </w:r>
      <w:bookmarkEnd w:id="0"/>
    </w:p>
    <w:p w14:paraId="1E85E89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中共中央政治局5月27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14:paraId="3101CC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中国劳动和社会保障科学研究院院长莫荣研究员就这个问题进行讲解，提出工作建议。中央政治局的同志认真听取讲解，并进行了讨论。</w:t>
      </w:r>
    </w:p>
    <w:p w14:paraId="6F00C2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1300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6899EF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习近平强调，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14:paraId="6F328D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习近平指出，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14:paraId="6008EC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习近平强调，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防止因失业导致规模性返贫。加强对大龄、残疾、较长时间失业等就业困难群体的帮扶，统筹用好公益性岗位，确保零就业家庭动态清零。做好退役军人、妇女等群体就业工作。</w:t>
      </w:r>
    </w:p>
    <w:p w14:paraId="4DCBF5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习近平指出，要深化就业体制机制改革。完善就业公共服务制度，健全就业公共服务体系。完善创业带动就业保障制度，优化创业服务，提升创业质量。健全统一规范的人力资源市场体系，营造公平就业环境，使人人都有通过辛勤努力实现自身发展的机会。</w:t>
      </w:r>
    </w:p>
    <w:p w14:paraId="6363417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　　习近平强调，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14:paraId="73EE88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r>
        <w:rPr>
          <w:rFonts w:hint="eastAsia" w:ascii="仿宋" w:hAnsi="仿宋" w:eastAsia="仿宋" w:cs="仿宋"/>
          <w:i w:val="0"/>
          <w:iCs w:val="0"/>
          <w:caps w:val="0"/>
          <w:color w:val="auto"/>
          <w:spacing w:val="0"/>
          <w:sz w:val="32"/>
          <w:szCs w:val="32"/>
        </w:rPr>
        <w:t>　　习近平最后指出，各级党委和政府要把就业当作民生头等大事来抓，加强组织领导，健全制度机制，增强工作合力。要加快建构中国就业理论体系，有效提升我国在就业领域的国际话语权和影响力。</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673374-4AF1-4159-A985-F201B9D4D5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74E9CE87-87A9-4E80-B14E-7915C3A6663C}"/>
  </w:font>
  <w:font w:name="方正粗宋简体">
    <w:altName w:val="宋体"/>
    <w:panose1 w:val="00000000000000000000"/>
    <w:charset w:val="86"/>
    <w:family w:val="auto"/>
    <w:pitch w:val="default"/>
    <w:sig w:usb0="00000000" w:usb1="00000000" w:usb2="00000000" w:usb3="00000000" w:csb0="00040000" w:csb1="00000000"/>
    <w:embedRegular r:id="rId3" w:fontKey="{677A8F7E-859C-46A6-BC72-93C0C5308494}"/>
  </w:font>
  <w:font w:name="方正隶书简体">
    <w:altName w:val="宋体"/>
    <w:panose1 w:val="00000000000000000000"/>
    <w:charset w:val="86"/>
    <w:family w:val="auto"/>
    <w:pitch w:val="default"/>
    <w:sig w:usb0="00000000" w:usb1="00000000" w:usb2="00000000" w:usb3="00000000" w:csb0="00040000" w:csb1="00000000"/>
    <w:embedRegular r:id="rId4" w:fontKey="{E26D8905-9500-41C2-AD6A-A580C6D57983}"/>
  </w:font>
  <w:font w:name="微软雅黑">
    <w:panose1 w:val="020B0503020204020204"/>
    <w:charset w:val="86"/>
    <w:family w:val="auto"/>
    <w:pitch w:val="default"/>
    <w:sig w:usb0="80000287" w:usb1="2ACF3C50" w:usb2="00000016" w:usb3="00000000" w:csb0="0004001F" w:csb1="00000000"/>
    <w:embedRegular r:id="rId5" w:fontKey="{4B5E7450-1EBB-4047-B60A-2D84180F91CE}"/>
  </w:font>
  <w:font w:name="仿宋">
    <w:panose1 w:val="02010609060101010101"/>
    <w:charset w:val="86"/>
    <w:family w:val="auto"/>
    <w:pitch w:val="default"/>
    <w:sig w:usb0="800002BF" w:usb1="38CF7CFA" w:usb2="00000016" w:usb3="00000000" w:csb0="00040001" w:csb1="00000000"/>
    <w:embedRegular r:id="rId6" w:fontKey="{D4E35930-691F-4419-AC0B-29877DE222E9}"/>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18A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3C92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126609">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CE86CF6"/>
    <w:rsid w:val="0EC6066B"/>
    <w:rsid w:val="120903C8"/>
    <w:rsid w:val="139C141D"/>
    <w:rsid w:val="14706FF7"/>
    <w:rsid w:val="1A166A4A"/>
    <w:rsid w:val="1C5857CC"/>
    <w:rsid w:val="1EDE08CB"/>
    <w:rsid w:val="20172C10"/>
    <w:rsid w:val="24643C18"/>
    <w:rsid w:val="309B37F1"/>
    <w:rsid w:val="3105688D"/>
    <w:rsid w:val="3AC57AA1"/>
    <w:rsid w:val="3D163E98"/>
    <w:rsid w:val="44C438D4"/>
    <w:rsid w:val="48BC1BB5"/>
    <w:rsid w:val="4BA76F30"/>
    <w:rsid w:val="4D9F5012"/>
    <w:rsid w:val="4FA21F20"/>
    <w:rsid w:val="4FFB7030"/>
    <w:rsid w:val="510A0F01"/>
    <w:rsid w:val="573033E4"/>
    <w:rsid w:val="5977667E"/>
    <w:rsid w:val="5C987A3F"/>
    <w:rsid w:val="5D0E333D"/>
    <w:rsid w:val="5F700259"/>
    <w:rsid w:val="61E96D97"/>
    <w:rsid w:val="679D36FC"/>
    <w:rsid w:val="6A7A4E21"/>
    <w:rsid w:val="6FBA4763"/>
    <w:rsid w:val="6FCE2175"/>
    <w:rsid w:val="72EF1342"/>
    <w:rsid w:val="737D3580"/>
    <w:rsid w:val="74F0047F"/>
    <w:rsid w:val="75D266FB"/>
    <w:rsid w:val="76F64E12"/>
    <w:rsid w:val="77700104"/>
    <w:rsid w:val="78563B9F"/>
    <w:rsid w:val="789C2F24"/>
    <w:rsid w:val="7CF7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9196</Words>
  <Characters>9212</Characters>
  <Lines>0</Lines>
  <Paragraphs>0</Paragraphs>
  <TotalTime>1139</TotalTime>
  <ScaleCrop>false</ScaleCrop>
  <LinksUpToDate>false</LinksUpToDate>
  <CharactersWithSpaces>9295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2024-06-12T04:54:32Z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E6B8ADE9144F423F81556FA3395AE3F4_13</vt:lpwstr>
  </property>
  <property fmtid="{D5CDD505-2E9C-101B-9397-08002B2CF9AE}" pid="4" name="commondata">
    <vt:lpwstr>eyJoZGlkIjoiZjc4ZTY2Y2QyY2NmNDhkZTdkMmJiYTRkYTM3MDU3ZGIifQ==</vt:lpwstr>
  </property>
</Properties>
</file>