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二十</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政府工作报告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——2024年3月5日在第十四届全国人民代表大会第二次会议上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国务院总理 李强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现在，我代表国务院，向大会报告政府工作，请予审议，并请全国政协委员提出意见。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一、2023年工作回顾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——经济总体回升向好。国内生产总值超过126万亿元，增长5.2%，增速居世界主要经济体前列。城镇新增就业1244万人，城镇调查失业率平均为5.2%。居民消费价格上涨0.2%。国际收支基本平衡。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现代化产业体系建设取得重要进展。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——安全发展基础巩固夯实。粮食产量1.39万亿斤，再创历史新高。能源资源供应稳定。重要产业链供应链自主可控能力提升。经济金融重点领域风险稳步化解。现代化基础设施建设不断加强。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民生保障有力有效。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一年来，我们深入学习贯彻党的二十大和二十届二中全会精神，按照党中央决策部署，主要做了以下工作。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是加大宏观调控力度，推动经济运行持续好转。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是依靠创新引领产业升级，增强城乡区域发展新动能。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是强化生态环境保护治理，加快发展方式绿色转型。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是着力抓好民生保障，推进社会事业发展。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六是全面加强政府建设，大力提升治理效能。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深入推进法治政府建设。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二、2024年经济社会发展总体要求和政策取向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综合分析研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三、2024年政府工作任务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党中央对今年工作作出了全面部署，我们要深入贯彻落实，紧紧抓住主要矛盾，着力突破瓶颈制约，扎实做好各项工作。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大力推进现代化产业体系建设，加快发展新质生产力。充分发挥创新主导作用，以科技创新推动产业创新，加快推进新型工业化，提高全要素生产率，不断塑造发展新动能新优势，促进社会生产力实现新的跃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培育算力产业生态。我们要以广泛深刻的数字变革，赋能经济发展、丰富人民生活、提升社会治理现代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深入实施科教兴国战略，强化高质量发展的基础支撑。坚持教育强国、科技强国、人才强国建设一体统筹推进，创新链产业链资金链人才链一体部署实施，深化教育科技人才综合改革，为现代化建设提供强大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植人民幸福之本，夯实国家富强之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（三）着力扩大国内需求，推动经济实现良性循环。把实施扩大内需战略同深化供给侧结构性改革有机结合起来，更好统筹消费和投资，增强对经济增长的拉动作用。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（五）扩大高水平对外开放，促进互利共赢。主动对接高标准国际经贸规则，稳步扩大制度型开放，增强国内国际两个市场两种资源联动效应，巩固外贸外资基本盘，培育国际经济合作和竞争新优势。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服贸会、数贸会、消博会等重大展会。加快国际物流体系建设，打造智慧海关，助力外贸企业降本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实施自贸试验区提升战略，赋予自贸试验区、海南自由贸易港等更多自主权，推动开发区改革创新，打造对外开放新高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深化多双边和区域经济合作。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（六）更好统筹发展和安全，有效防范化解重点领域风险。坚持以高质量发展促进高水平安全，以高水平安全保障高质量发展，标本兼治化解房地产、地方债务、中小金融机构等风险，维护经济金融大局稳定。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七）坚持不懈抓好“三农”工作，扎实推进乡村全面振兴。锚定建设农业强国目标，学习运用“千村示范、万村整治”工程经验，因地制宜、分类施策，循序渐进、久久为功，推动乡村全面振兴不断取得实质性进展、阶段性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稳步推进农村改革发展。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电路气信等基础设施和公共服务，加强充电桩、冷链物流、寄递配送设施建设，加大农房抗震改造力度，持续改善农村人居环境，建设宜居宜业和美乡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八）推动城乡融合和区域协调发展，大力优化经济布局。深入实施区域协调发展战略、区域重大战略、主体功能区战略，把推进新型城镇化和乡村全面振兴有机结合起来，加快构建优势互补、高质量发展的区域经济格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城镇化要处处体现以人为本，提高精细化管理和服务水平，让人民群众享有更高品质的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（九）加强生态文明建设，推进绿色低碳发展。深入践行绿水青山就是金山银山的理念，协同推进降碳、减污、扩绿、增长，建设人与自然和谐共生的美丽中国。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提高电网对清洁能源的接纳、配置和调控能力，发展新型储能，促进绿电使用和国际互认，发挥煤炭、煤电兜底作用，确保经济社会发展用能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切实保障和改善民生，加强和创新社会治理。坚持以人民为中心的发展思想，履行好保基本、兜底线职责，采取更多惠民生、暖民心举措，扎实推进共同富裕，促进社会和谐稳定，不断增强人民群众的获得感、幸福感、安全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提高医疗卫生服务能力。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强社会保障和服务。实施积极应对人口老龄化国家战略。城乡居民基础养老金月最低标准提高20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丰富人民群众精神文化生活。深入学习贯彻习近平文化思想。广泛践行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治本攻坚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29D51F-83C1-4D5F-80CD-8168983C22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2DB5BE3-64FC-4349-8F45-DACB6EA521E0}"/>
  </w:font>
  <w:font w:name="方正粗宋简体">
    <w:altName w:val="宋体"/>
    <w:panose1 w:val="00000000000000000000"/>
    <w:charset w:val="86"/>
    <w:family w:val="auto"/>
    <w:pitch w:val="default"/>
    <w:sig w:usb0="00000000" w:usb1="00000000" w:usb2="00000000" w:usb3="00000000" w:csb0="00040000" w:csb1="00000000"/>
    <w:embedRegular r:id="rId3" w:fontKey="{7AA6CCDB-E8D3-4FC2-9174-9DF95159A130}"/>
  </w:font>
  <w:font w:name="方正隶书简体">
    <w:altName w:val="宋体"/>
    <w:panose1 w:val="00000000000000000000"/>
    <w:charset w:val="86"/>
    <w:family w:val="auto"/>
    <w:pitch w:val="default"/>
    <w:sig w:usb0="00000000" w:usb1="00000000" w:usb2="00000000" w:usb3="00000000" w:csb0="00040000" w:csb1="00000000"/>
    <w:embedRegular r:id="rId4" w:fontKey="{E6C18753-8F3C-442A-B8AA-86832EC9E4CD}"/>
  </w:font>
  <w:font w:name="微软雅黑">
    <w:panose1 w:val="020B0503020204020204"/>
    <w:charset w:val="86"/>
    <w:family w:val="auto"/>
    <w:pitch w:val="default"/>
    <w:sig w:usb0="80000287" w:usb1="2ACF3C50" w:usb2="00000016" w:usb3="00000000" w:csb0="0004001F" w:csb1="00000000"/>
    <w:embedRegular r:id="rId5" w:fontKey="{BAB8E817-F6BA-4D00-9EAF-40AE3C22CA1F}"/>
  </w:font>
  <w:font w:name="仿宋">
    <w:panose1 w:val="02010609060101010101"/>
    <w:charset w:val="86"/>
    <w:family w:val="auto"/>
    <w:pitch w:val="default"/>
    <w:sig w:usb0="800002BF" w:usb1="38CF7CFA" w:usb2="00000016" w:usb3="00000000" w:csb0="00040001" w:csb1="00000000"/>
    <w:embedRegular r:id="rId6" w:fontKey="{B349DF80-A4EF-4159-8083-710E63CE693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EC6066B"/>
    <w:rsid w:val="120903C8"/>
    <w:rsid w:val="14706FF7"/>
    <w:rsid w:val="1A166A4A"/>
    <w:rsid w:val="1C5857CC"/>
    <w:rsid w:val="1EDE08CB"/>
    <w:rsid w:val="20172C10"/>
    <w:rsid w:val="24643C18"/>
    <w:rsid w:val="309B37F1"/>
    <w:rsid w:val="3105688D"/>
    <w:rsid w:val="3AC57AA1"/>
    <w:rsid w:val="3D163E98"/>
    <w:rsid w:val="44C438D4"/>
    <w:rsid w:val="48BC1BB5"/>
    <w:rsid w:val="4BA76F30"/>
    <w:rsid w:val="4D9F5012"/>
    <w:rsid w:val="4FA21F20"/>
    <w:rsid w:val="4FFB7030"/>
    <w:rsid w:val="510A0F01"/>
    <w:rsid w:val="573033E4"/>
    <w:rsid w:val="5A2619BA"/>
    <w:rsid w:val="5C987A3F"/>
    <w:rsid w:val="5D0E333D"/>
    <w:rsid w:val="5F700259"/>
    <w:rsid w:val="679D36FC"/>
    <w:rsid w:val="6A7A4E21"/>
    <w:rsid w:val="6FBA4763"/>
    <w:rsid w:val="6FCE2175"/>
    <w:rsid w:val="72EF1342"/>
    <w:rsid w:val="737D3580"/>
    <w:rsid w:val="74F0047F"/>
    <w:rsid w:val="75D266FB"/>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6324</Words>
  <Characters>6327</Characters>
  <Lines>0</Lines>
  <Paragraphs>0</Paragraphs>
  <TotalTime>106</TotalTime>
  <ScaleCrop>false</ScaleCrop>
  <LinksUpToDate>false</LinksUpToDate>
  <CharactersWithSpaces>6333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2024-04-28T05:51:33Z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4FCCB04CD9CB48BCA1E6742535606738</vt:lpwstr>
  </property>
  <property fmtid="{D5CDD505-2E9C-101B-9397-08002B2CF9AE}" pid="4" name="commondata">
    <vt:lpwstr>eyJoZGlkIjoiZjc4ZTY2Y2QyY2NmNDhkZTdkMmJiYTRkYTM3MDU3ZGIifQ==</vt:lpwstr>
  </property>
</Properties>
</file>